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BA" w:rsidRPr="003C6B9C" w:rsidRDefault="00A561BA" w:rsidP="003675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B9C">
        <w:rPr>
          <w:rFonts w:ascii="Times New Roman" w:hAnsi="Times New Roman" w:cs="Times New Roman"/>
        </w:rPr>
        <w:t>Приложение N 2б</w:t>
      </w:r>
    </w:p>
    <w:p w:rsidR="00A561BA" w:rsidRPr="003C6B9C" w:rsidRDefault="00A561BA" w:rsidP="003675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B9C">
        <w:rPr>
          <w:rFonts w:ascii="Times New Roman" w:hAnsi="Times New Roman" w:cs="Times New Roman"/>
        </w:rPr>
        <w:t>к Порядку разработки, реализации</w:t>
      </w:r>
    </w:p>
    <w:p w:rsidR="00A561BA" w:rsidRPr="003C6B9C" w:rsidRDefault="00A561BA" w:rsidP="003675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B9C">
        <w:rPr>
          <w:rFonts w:ascii="Times New Roman" w:hAnsi="Times New Roman" w:cs="Times New Roman"/>
        </w:rPr>
        <w:t>и оценки эффективности</w:t>
      </w:r>
    </w:p>
    <w:p w:rsidR="00A561BA" w:rsidRPr="003C6B9C" w:rsidRDefault="00A561BA" w:rsidP="003675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B9C">
        <w:rPr>
          <w:rFonts w:ascii="Times New Roman" w:hAnsi="Times New Roman" w:cs="Times New Roman"/>
        </w:rPr>
        <w:t>государственных программ</w:t>
      </w:r>
    </w:p>
    <w:p w:rsidR="00C55345" w:rsidRPr="003C6B9C" w:rsidRDefault="00A561BA" w:rsidP="00367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B9C">
        <w:rPr>
          <w:rFonts w:ascii="Times New Roman" w:hAnsi="Times New Roman" w:cs="Times New Roman"/>
        </w:rPr>
        <w:t>Республики Тыва</w:t>
      </w:r>
    </w:p>
    <w:p w:rsidR="006265B3" w:rsidRPr="003C6B9C" w:rsidRDefault="002628BA" w:rsidP="0062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B9C">
        <w:rPr>
          <w:rFonts w:ascii="Times New Roman" w:eastAsia="Times New Roman" w:hAnsi="Times New Roman" w:cs="Times New Roman"/>
          <w:sz w:val="24"/>
          <w:szCs w:val="24"/>
        </w:rPr>
        <w:t>Информация об исполнении п</w:t>
      </w:r>
      <w:r w:rsidR="006265B3" w:rsidRPr="003C6B9C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3C6B9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265B3" w:rsidRPr="00431B8D" w:rsidRDefault="006265B3" w:rsidP="0062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B9C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431B8D">
        <w:rPr>
          <w:rFonts w:ascii="Times New Roman" w:eastAsia="Times New Roman" w:hAnsi="Times New Roman" w:cs="Times New Roman"/>
          <w:sz w:val="24"/>
          <w:szCs w:val="24"/>
        </w:rPr>
        <w:t>мероприятий государственной программы Республики Тыва</w:t>
      </w:r>
    </w:p>
    <w:p w:rsidR="006265B3" w:rsidRPr="00431B8D" w:rsidRDefault="006265B3" w:rsidP="006265B3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B8D">
        <w:rPr>
          <w:rFonts w:ascii="Times New Roman" w:eastAsia="Times New Roman" w:hAnsi="Times New Roman" w:cs="Times New Roman"/>
          <w:sz w:val="24"/>
          <w:szCs w:val="24"/>
        </w:rPr>
        <w:t>«Развитие транспортной системы Республики Тыва на 2017-2024 годы»</w:t>
      </w:r>
    </w:p>
    <w:p w:rsidR="006265B3" w:rsidRPr="00431B8D" w:rsidRDefault="00AB599F" w:rsidP="006265B3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1B8D">
        <w:rPr>
          <w:rFonts w:ascii="Times New Roman" w:eastAsia="Times New Roman" w:hAnsi="Times New Roman" w:cs="Times New Roman"/>
          <w:sz w:val="24"/>
          <w:szCs w:val="24"/>
          <w:u w:val="single"/>
        </w:rPr>
        <w:t>на 01января</w:t>
      </w:r>
      <w:r w:rsidR="008A29E0" w:rsidRPr="00431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265B3" w:rsidRPr="00431B8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Pr="00431B8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6265B3" w:rsidRPr="00431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265B3" w:rsidRPr="00431B8D" w:rsidRDefault="006265B3" w:rsidP="00626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23" w:type="dxa"/>
        <w:tblInd w:w="-289" w:type="dxa"/>
        <w:tblLayout w:type="fixed"/>
        <w:tblLook w:val="04A0"/>
      </w:tblPr>
      <w:tblGrid>
        <w:gridCol w:w="823"/>
        <w:gridCol w:w="3856"/>
        <w:gridCol w:w="3260"/>
        <w:gridCol w:w="992"/>
        <w:gridCol w:w="992"/>
        <w:gridCol w:w="1134"/>
        <w:gridCol w:w="993"/>
        <w:gridCol w:w="3373"/>
      </w:tblGrid>
      <w:tr w:rsidR="002628BA" w:rsidRPr="00431B8D" w:rsidTr="004A2AA8">
        <w:trPr>
          <w:trHeight w:val="34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основных </w:t>
            </w:r>
          </w:p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мероприятий государственной </w:t>
            </w:r>
          </w:p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628BA" w:rsidRPr="00431B8D" w:rsidTr="004A2AA8">
        <w:trPr>
          <w:trHeight w:val="34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431B8D" w:rsidTr="004A2AA8">
        <w:trPr>
          <w:trHeight w:val="419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431B8D" w:rsidTr="004A2AA8">
        <w:trPr>
          <w:trHeight w:val="2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482F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Подпрограмма 1 «Автомобильные дороги и дорожное хозяйство на 2017-2024 годы»,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DD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6927BE" w:rsidP="0067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мостового перехода через р. Большой Енисей на автомобильной дороге регионального значения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Бояровка-Тоора-Хем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3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2628BA" w:rsidRPr="00431B8D" w:rsidRDefault="006927BE" w:rsidP="00673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2628BA" w:rsidP="006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6927BE" w:rsidP="006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6927BE" w:rsidP="006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  <w:p w:rsidR="006927BE" w:rsidRPr="00431B8D" w:rsidRDefault="006927BE" w:rsidP="006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6927BE" w:rsidP="006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431B8D" w:rsidRDefault="00DD31ED" w:rsidP="0067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объекта ведется в рамках национального проекта «Безопасные и качественные автомобильные дороги», в результате которого планируется прирост протяженности автодорог общего пользования регионального или межмуниципального значения, соответствующих нормативным требованиям (5,032 км, 4-х полосная)</w:t>
            </w: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C8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авторскому надзору и строительному контролю объектов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C82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C82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C8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C8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C8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431B8D" w:rsidP="00C8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017E30" w:rsidP="00C8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</w:t>
            </w:r>
            <w:r w:rsidR="003C6B9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C6B9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</w:tr>
      <w:tr w:rsidR="000C292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Аварийно-восстановительные работы мостового перехода через р. Большой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Аянгаты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км 27+175 автомобильной дороги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Кызыл-Мажалык-Аянгаты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9C" w:rsidRPr="00431B8D" w:rsidRDefault="000C2920" w:rsidP="003C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разрушенного моста после АВР</w:t>
            </w:r>
            <w:r w:rsidR="003C6B9C"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6B9C" w:rsidRPr="00431B8D">
              <w:rPr>
                <w:rFonts w:ascii="Times New Roman" w:hAnsi="Times New Roman" w:cs="Times New Roman"/>
                <w:sz w:val="24"/>
                <w:szCs w:val="24"/>
              </w:rPr>
              <w:t>Разрабатывается проектно-сметная документация.</w:t>
            </w:r>
          </w:p>
          <w:p w:rsidR="000C2920" w:rsidRPr="00431B8D" w:rsidRDefault="000C2920" w:rsidP="00DD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автомобильной дороги "Подъезд к г. Кызыл"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показателя 4,47 км</w:t>
            </w:r>
          </w:p>
        </w:tc>
      </w:tr>
      <w:tr w:rsidR="001A61DE" w:rsidRPr="00431B8D" w:rsidTr="004A2AA8">
        <w:trPr>
          <w:trHeight w:val="10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</w:rPr>
              <w:t>Реконструкция автомобильной дороги Подъезд к г. Шагонар км 1+000-км 4+000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показателя 3 км</w:t>
            </w:r>
            <w:r w:rsidR="003C6B9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2021-2022 </w:t>
            </w:r>
            <w:proofErr w:type="spellStart"/>
            <w:r w:rsidR="003C6B9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автомобильной дороги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Кара-Хаак-Черби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3C6B9C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показателя 3,5</w:t>
            </w:r>
            <w:r w:rsidR="00DD31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</w:tr>
      <w:tr w:rsidR="008A29E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автомобильной дороги "Подъезд к с.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Арыг-Бажы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(1 этап)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927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BA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Переходящий объект </w:t>
            </w: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автомобильной дороги Подъезд к с. Бай-Хаак, участок км 0+000 - км 5+000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DD31ED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показателя 5 км</w:t>
            </w: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</w:rPr>
              <w:t>автомобильной дороги Подъезд к с. Бай-Хаак, участок км 5+000 - км 8+000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показателя </w:t>
            </w:r>
          </w:p>
          <w:p w:rsidR="001A61DE" w:rsidRPr="00431B8D" w:rsidRDefault="00DD31ED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км</w:t>
            </w: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 w:rsidRPr="00431B8D">
              <w:rPr>
                <w:rFonts w:ascii="Times New Roman" w:hAnsi="Times New Roman" w:cs="Times New Roman"/>
              </w:rPr>
              <w:t>Мугур-Аксы</w:t>
            </w:r>
            <w:proofErr w:type="spellEnd"/>
            <w:r w:rsidRPr="00431B8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31B8D">
              <w:rPr>
                <w:rFonts w:ascii="Times New Roman" w:hAnsi="Times New Roman" w:cs="Times New Roman"/>
              </w:rPr>
              <w:t>Кызыл-Хая</w:t>
            </w:r>
            <w:proofErr w:type="spellEnd"/>
            <w:r w:rsidRPr="00431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8D">
              <w:rPr>
                <w:rFonts w:ascii="Times New Roman" w:hAnsi="Times New Roman" w:cs="Times New Roman"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</w:rPr>
              <w:t>. км 0+000 - км 69+400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1A61D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</w:rPr>
              <w:t xml:space="preserve">Ремонт автомобильной дороги Ак-Тал - </w:t>
            </w:r>
            <w:proofErr w:type="spellStart"/>
            <w:r w:rsidRPr="00431B8D">
              <w:rPr>
                <w:rFonts w:ascii="Times New Roman" w:hAnsi="Times New Roman" w:cs="Times New Roman"/>
              </w:rPr>
              <w:t>Холчук</w:t>
            </w:r>
            <w:proofErr w:type="spellEnd"/>
            <w:r w:rsidRPr="00431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B8D">
              <w:rPr>
                <w:rFonts w:ascii="Times New Roman" w:hAnsi="Times New Roman" w:cs="Times New Roman"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</w:rPr>
              <w:t>. км 0+000 - км 20+000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1A61D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</w:rPr>
              <w:t>Ремонт автомобильной дороги Подъезд к с. Ак-Эрик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Ремонт автомобильной дороги Чадан -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Суг-Аксы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, участок км 22+350 - км 26+110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6927BE" w:rsidP="004A2AA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56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показателя </w:t>
            </w:r>
          </w:p>
          <w:p w:rsidR="006927BE" w:rsidRPr="00431B8D" w:rsidRDefault="00575456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 км</w:t>
            </w:r>
          </w:p>
        </w:tc>
      </w:tr>
      <w:tr w:rsidR="000C292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Ремонт автомобильной дороги Подъезд к с. Бай-Хаак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км 24+000-к 31+441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показателя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2,241 км. Переходящий объект</w:t>
            </w:r>
          </w:p>
        </w:tc>
      </w:tr>
      <w:tr w:rsidR="000C292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Ремонт автомобильной дороги Подъезд к с. Хову-Аксы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км 42+000 - км 43+000, км 44+000 - км 45+000, км 57+000 - км 58+130,</w:t>
            </w:r>
            <w:r w:rsidR="00064C3A" w:rsidRPr="00431B8D">
              <w:rPr>
                <w:rFonts w:ascii="Times New Roman" w:hAnsi="Times New Roman" w:cs="Times New Roman"/>
                <w:bCs/>
              </w:rPr>
              <w:t xml:space="preserve"> </w:t>
            </w:r>
            <w:r w:rsidRPr="00431B8D">
              <w:rPr>
                <w:rFonts w:ascii="Times New Roman" w:hAnsi="Times New Roman" w:cs="Times New Roman"/>
                <w:bCs/>
              </w:rPr>
              <w:t>км 59+000 - км 62+200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показателя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 км. Переходящий объект</w:t>
            </w:r>
          </w:p>
        </w:tc>
      </w:tr>
      <w:tr w:rsidR="000C292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Ремонт автомобильной дороги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Подезд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к с. Чаа-Холь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км 0+000 – км 5+000, км 5+000 –км 9+800, км 11+500 – км 15+558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показателя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4,858 км. Переходящий объект</w:t>
            </w:r>
          </w:p>
        </w:tc>
      </w:tr>
      <w:tr w:rsidR="000C292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Капитальный ремонт автомобильной дороги "Бай-Хаак -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Чал-Кежиг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",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. км 0+000 - км 47+000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0C2920" w:rsidRPr="00431B8D" w:rsidRDefault="000C2920" w:rsidP="000C2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0" w:rsidRPr="00431B8D" w:rsidRDefault="000C2920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Грунтовая дорога</w:t>
            </w:r>
          </w:p>
        </w:tc>
      </w:tr>
      <w:tr w:rsidR="00431B8D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Выполнение ремонта опор моста через р.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Моген-Бурен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, на 2+550 км а/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Кызыл-Хая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– перевал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Бугузун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B41640" w:rsidRDefault="00431B8D" w:rsidP="00431B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40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0C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ремонта моста</w:t>
            </w:r>
          </w:p>
        </w:tc>
      </w:tr>
      <w:tr w:rsidR="00431B8D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Выполнение ремонта опор моста через р.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Моген-Бурен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, на 4+500 км, на 14+100 км, а/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Кызыл-Хая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– перевал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Бугузун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Default="00431B8D" w:rsidP="00431B8D">
            <w:r w:rsidRPr="00B41640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ремонта моста</w:t>
            </w:r>
          </w:p>
        </w:tc>
      </w:tr>
      <w:tr w:rsidR="00431B8D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1B8D">
              <w:rPr>
                <w:rFonts w:ascii="Times New Roman" w:hAnsi="Times New Roman" w:cs="Times New Roman"/>
                <w:bCs/>
              </w:rPr>
              <w:t xml:space="preserve">Выполнение ремонта опор моста через р.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Ортаа-Халыын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, на 54+600 км, на 54+800 км, а/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 xml:space="preserve"> Хандагайты - </w:t>
            </w:r>
            <w:proofErr w:type="spellStart"/>
            <w:r w:rsidRPr="00431B8D">
              <w:rPr>
                <w:rFonts w:ascii="Times New Roman" w:hAnsi="Times New Roman" w:cs="Times New Roman"/>
                <w:bCs/>
              </w:rPr>
              <w:t>Мугур-Аксы</w:t>
            </w:r>
            <w:proofErr w:type="spellEnd"/>
            <w:r w:rsidRPr="00431B8D">
              <w:rPr>
                <w:rFonts w:ascii="Times New Roman" w:hAnsi="Times New Roman" w:cs="Times New Roman"/>
                <w:bCs/>
              </w:rPr>
              <w:t>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B41640" w:rsidRDefault="00431B8D" w:rsidP="00431B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40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ремонта моста</w:t>
            </w:r>
          </w:p>
        </w:tc>
      </w:tr>
      <w:tr w:rsidR="00431B8D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B8D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автомобильной дороги Бай-Хаак-Балгазын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Default="00431B8D" w:rsidP="00431B8D">
            <w:r w:rsidRPr="00B41640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0,860 к </w:t>
            </w:r>
            <w:proofErr w:type="gramStart"/>
            <w:r w:rsidRPr="0043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>Ликвидацию стихийного бедствия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927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6927BE" w:rsidP="006927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3C6B9C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3C6B9C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3C6B9C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средств в целях оперативной ликвидации последствий ЧС на территории Республики Тыва. Резерв средств на восстановление дорожно-транспортной инфраструктуры вследствие стихийных бедствий.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>О</w:t>
            </w:r>
            <w:r w:rsidR="006927BE" w:rsidRPr="00431B8D">
              <w:rPr>
                <w:rFonts w:ascii="Times New Roman" w:hAnsi="Times New Roman" w:cs="Times New Roman"/>
                <w:bCs/>
              </w:rPr>
              <w:t>плата услуг по перевозке грузов и пассажиров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DD31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lastRenderedPageBreak/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3C6B9C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3C6B9C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FF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с населенными пунктами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Дерзиг-Аксы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Сизим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Каа-Хемского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кожууна, с.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Эйлиг-Хем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Улуг-Хемского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кожууна в весенне-летне-осеннее время осуществляется через паромные переправы. В рамках данного мероприятия предусмотрены работы по буксировке паромов к месту устройства переправы, демонтажные работы осенью, пусконаладочные работы, содержание причалов, ремонт паромов, работы по отсыпке подходов к парому. </w:t>
            </w:r>
          </w:p>
        </w:tc>
      </w:tr>
      <w:tr w:rsidR="006927BE" w:rsidRPr="00431B8D" w:rsidTr="004A2AA8">
        <w:trPr>
          <w:trHeight w:val="11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Calibri" w:hAnsi="Times New Roman" w:cs="Times New Roman"/>
              </w:rPr>
              <w:t>П</w:t>
            </w:r>
            <w:r w:rsidR="006927BE" w:rsidRPr="00431B8D">
              <w:rPr>
                <w:rFonts w:ascii="Times New Roman" w:eastAsia="Calibri" w:hAnsi="Times New Roman" w:cs="Times New Roman"/>
              </w:rPr>
              <w:t>роведение работ в целях государственной регистрации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DD31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Тыва. Выполнение комплекса межевых и кадастровых работ, по подготовке межевого плана земельного лесного участка.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>О</w:t>
            </w:r>
            <w:r w:rsidR="006927BE" w:rsidRPr="00431B8D">
              <w:rPr>
                <w:rFonts w:ascii="Times New Roman" w:hAnsi="Times New Roman" w:cs="Times New Roman"/>
                <w:bCs/>
              </w:rPr>
              <w:t>бследование и диагностика региональных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DD31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оценки показателя состояния дорог и формирования банка данных, при планировании и оценки эффективности дорожно-ремонтных работ по результатам диагностики, повышения уровня безопасности дорожного движения на автомобильных дорогах общего пользования регионального или межмуниципального значения ежегодно запланировано проведение мероприятий по диагностике и обследованию автодорог.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>Разработка</w:t>
            </w:r>
            <w:r w:rsidR="006927BE" w:rsidRPr="00431B8D">
              <w:rPr>
                <w:rFonts w:ascii="Times New Roman" w:hAnsi="Times New Roman" w:cs="Times New Roman"/>
                <w:bCs/>
              </w:rPr>
              <w:t xml:space="preserve"> проектно-сметной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DD31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lastRenderedPageBreak/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проведения мероприятий по реконструкции, строительству и капитального ремонта в 2021 году участков автомобильных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дорог и искусственных сооружений, необходима разработка проектно-сметной документации</w:t>
            </w:r>
          </w:p>
        </w:tc>
      </w:tr>
      <w:tr w:rsidR="006927BE" w:rsidRPr="00431B8D" w:rsidTr="004A2AA8">
        <w:trPr>
          <w:trHeight w:val="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hAnsi="Times New Roman" w:cs="Times New Roman"/>
                <w:bCs/>
              </w:rPr>
              <w:t>У</w:t>
            </w:r>
            <w:r w:rsidR="006927BE" w:rsidRPr="00431B8D">
              <w:rPr>
                <w:rFonts w:ascii="Times New Roman" w:hAnsi="Times New Roman" w:cs="Times New Roman"/>
                <w:bCs/>
              </w:rPr>
              <w:t>правление дорожным хозяйством (ГКУ "Тываавтодор</w:t>
            </w:r>
            <w:r w:rsidR="00E14471" w:rsidRPr="00431B8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4A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ГКУ Тываавтодор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муниципальным районам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F963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администрации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Приведение в нормативное состояние автодорог местного значения. В рамках национального проекта БКАД </w:t>
            </w:r>
          </w:p>
        </w:tc>
      </w:tr>
      <w:tr w:rsidR="006927BE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927BE">
            <w:pPr>
              <w:jc w:val="both"/>
              <w:rPr>
                <w:rFonts w:ascii="Times New Roman" w:hAnsi="Times New Roman" w:cs="Times New Roman"/>
              </w:rPr>
            </w:pPr>
            <w:r w:rsidRPr="00431B8D">
              <w:rPr>
                <w:rFonts w:ascii="Times New Roman" w:hAnsi="Times New Roman" w:cs="Times New Roman"/>
              </w:rPr>
              <w:t>Содержание автодорог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ED" w:rsidRPr="00431B8D" w:rsidRDefault="00DD31ED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927BE" w:rsidRPr="00431B8D" w:rsidRDefault="00DD31ED" w:rsidP="00DD31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DD31ED" w:rsidP="00DD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бесперебойного и безопасного проезда, снижение количества дорожно-транспортных происшествий из-за сопутствующих дорожных условий на сети дорог регионального и межмуниципального значения</w:t>
            </w:r>
          </w:p>
        </w:tc>
      </w:tr>
      <w:tr w:rsidR="008A29E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927BE">
            <w:pPr>
              <w:jc w:val="both"/>
              <w:rPr>
                <w:rFonts w:ascii="Times New Roman" w:hAnsi="Times New Roman" w:cs="Times New Roman"/>
              </w:rPr>
            </w:pPr>
            <w:r w:rsidRPr="00431B8D">
              <w:rPr>
                <w:rFonts w:ascii="Times New Roman" w:hAnsi="Times New Roman" w:cs="Times New Roman"/>
              </w:rPr>
              <w:t>Лучшая народная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8A29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8A29E0" w:rsidRPr="00431B8D" w:rsidRDefault="008A29E0" w:rsidP="00DD31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Муниципальные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431B8D" w:rsidRDefault="008A29E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D" w:rsidRPr="00431B8D" w:rsidRDefault="00431B8D" w:rsidP="0043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обеспечения доступности транспортного сообщения </w:t>
            </w:r>
          </w:p>
          <w:p w:rsidR="00431B8D" w:rsidRPr="00431B8D" w:rsidRDefault="00431B8D" w:rsidP="0043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наибольшему количеству чабанских стоянок в рамках реализации </w:t>
            </w:r>
          </w:p>
          <w:p w:rsidR="00431B8D" w:rsidRPr="00431B8D" w:rsidRDefault="00431B8D" w:rsidP="0043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Республики Тыва Года народных инициатив Министерством </w:t>
            </w:r>
          </w:p>
          <w:p w:rsidR="00431B8D" w:rsidRPr="00431B8D" w:rsidRDefault="00431B8D" w:rsidP="0043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 проведен конкурс «Лучшая народная программа» среди муниципальных образований Республики Тыва.</w:t>
            </w:r>
          </w:p>
          <w:p w:rsidR="008A29E0" w:rsidRPr="00431B8D" w:rsidRDefault="00431B8D" w:rsidP="0043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2021 году в рамках конкурса «Лучшая народная программа» из Дорожного фонда Республики Тыва предусмотрено выделение субсидий бюджетам муниципальных образований Республики Тыва в сумме 6,85 млн. рублей на расходы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материалов для устройства 17 деревянных мостовых сооружений к чабанским стоянкам. Министерством заключены Соглашения с 11 муниципальными образованиями или 100%.</w:t>
            </w:r>
          </w:p>
        </w:tc>
      </w:tr>
      <w:tr w:rsidR="006927BE" w:rsidRPr="00431B8D" w:rsidTr="00366002">
        <w:trPr>
          <w:trHeight w:val="563"/>
        </w:trPr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431B8D" w:rsidRDefault="006927BE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E4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Подпрограмма 2 «Транспорт на 2017-2024 годы»,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2F" w:rsidRPr="00431B8D" w:rsidRDefault="00637E40" w:rsidP="00825D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Министерств</w:t>
            </w:r>
            <w:r w:rsidR="001F302F" w:rsidRPr="00431B8D">
              <w:rPr>
                <w:rFonts w:ascii="Times New Roman" w:eastAsia="Calibri" w:hAnsi="Times New Roman" w:cs="Times New Roman"/>
              </w:rPr>
              <w:t>о</w:t>
            </w:r>
            <w:r w:rsidRPr="00431B8D">
              <w:rPr>
                <w:rFonts w:ascii="Times New Roman" w:eastAsia="Calibri" w:hAnsi="Times New Roman" w:cs="Times New Roman"/>
              </w:rPr>
              <w:t xml:space="preserve"> дорожно-транспортного комплекса Республики Тыва</w:t>
            </w:r>
            <w:r w:rsidR="001F302F" w:rsidRPr="00431B8D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637E40" w:rsidRPr="00431B8D" w:rsidRDefault="001F302F" w:rsidP="00825D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ФКП «Аэропорт Кызыл»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F4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37E40" w:rsidRPr="00431B8D" w:rsidTr="004A2AA8">
        <w:trPr>
          <w:trHeight w:val="4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авиации общего назначения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E40" w:rsidRPr="00431B8D" w:rsidTr="004A2AA8">
        <w:trPr>
          <w:trHeight w:val="2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Аэропортовый комплекс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E4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состояния посадочных площадок в соответствие эксплуатационным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1F302F" w:rsidP="001F30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администрации муниципальных образований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B85596" w:rsidP="003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средства в размере 6000,0 тыс. рублей предусмотренные в бюджете в 2021 году на приведение состояния посадочных площадок в соответствии с эксплуатационными требованиями уточнением бюджета перенаправлены на субсидии по возмещению разницы в тарифах при перевозке пассажиров воздушным транспортом на местных воздушных линиях.</w:t>
            </w:r>
          </w:p>
          <w:p w:rsidR="00306689" w:rsidRPr="00431B8D" w:rsidRDefault="005E55C3" w:rsidP="003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Справочно: </w:t>
            </w:r>
          </w:p>
          <w:p w:rsidR="005E55C3" w:rsidRPr="00431B8D" w:rsidRDefault="005E55C3" w:rsidP="003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Необходимость перенаправления суммы субсидий, предусмотренных на строительство вертолетной площадки в с.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Мугур-Аксы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возникла в связи с упущением сроков строительства по причине эпидемиологической ситуацией в республике и в целом по Российской Федерации. Также не выполнен Административный регламент, утвержденный приказом Росавиации от 04.03.2020 № 260-П «Об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эксплуатацию аэропортов или иных объектов инфраструктуры воздушного транспорта, являющихся объектами капитального строительства», предусматривающий проведение проектно-изыскательных работ с выездом на место.</w:t>
            </w:r>
          </w:p>
        </w:tc>
      </w:tr>
      <w:tr w:rsidR="00637E40" w:rsidRPr="00431B8D" w:rsidTr="004A2AA8">
        <w:trPr>
          <w:trHeight w:val="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A23E94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транспорт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E40" w:rsidRPr="00431B8D" w:rsidRDefault="001F302F" w:rsidP="001F30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</w:t>
            </w:r>
          </w:p>
          <w:p w:rsidR="001F302F" w:rsidRPr="00431B8D" w:rsidRDefault="001F302F" w:rsidP="001F30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Республиканское казенное предприятие «Авиакомпания «Тувинские авиалинии»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E40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A23E94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Поддержание летной годности самолетов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Pilatus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РС-12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40" w:rsidRPr="00431B8D" w:rsidRDefault="00637E40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уточненном бюджете на 2021 г. на поддержание летной годности ВС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Pilatus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PC-12 предусмотрено 14 000,00 тыс. рублей</w:t>
            </w:r>
            <w:r w:rsidR="005A47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 которых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профинансировано </w:t>
            </w:r>
            <w:r w:rsidR="00ED64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14 000,0</w:t>
            </w:r>
            <w:r w:rsidR="005A47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 или </w:t>
            </w:r>
            <w:r w:rsidR="00ED64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%. </w:t>
            </w:r>
            <w:r w:rsidR="00ED64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</w:t>
            </w:r>
            <w:r w:rsidR="00ED64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</w:t>
            </w:r>
            <w:r w:rsidR="00ED64E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лены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прохождение ТО через каждые 6 месяцев (формы 6 мес.);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устранение дефектов, выявленных в ходе выполнения очередного ТО;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подготовки ВС к осенне-зимнему периоду;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расшифровки полетной информации (выполняется ежемесячно).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Помимо этого, предприятие несет расходы по содержанию летного состава:</w:t>
            </w:r>
          </w:p>
          <w:p w:rsidR="00910DC1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аренда квартиры на сумму 35,0 тыс. рублей в месяц, где проживают экипаж ВС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Pilatus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 чел.; </w:t>
            </w:r>
          </w:p>
          <w:p w:rsidR="00637E40" w:rsidRPr="00431B8D" w:rsidRDefault="00910DC1" w:rsidP="0091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заработная плата в месяц командира в размере 190,0 тыс. рублей и второго пилота 150,0 тыс. рублей.</w:t>
            </w:r>
          </w:p>
        </w:tc>
      </w:tr>
      <w:tr w:rsidR="003A2D66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летной годности вертолетов Ми-8Т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D92E45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Предусмотренные</w:t>
            </w:r>
            <w:r w:rsidR="006848B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</w:t>
            </w:r>
            <w:r w:rsidR="005A47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A47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республиканском бюджете в</w:t>
            </w:r>
            <w:r w:rsidR="006848B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год</w:t>
            </w:r>
            <w:r w:rsidR="005A47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848B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общей сумме 10 520,6 тыс. рублей направлены:</w:t>
            </w:r>
          </w:p>
          <w:p w:rsidR="006848B4" w:rsidRPr="00431B8D" w:rsidRDefault="006848B4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="0065036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119,34 тыс. руб. на </w:t>
            </w:r>
            <w:r w:rsidR="00813DB8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предоплату за изготовление и поставку изд. БП-214М и блоков автономного питания АРМ;</w:t>
            </w:r>
          </w:p>
          <w:p w:rsidR="00813DB8" w:rsidRPr="00431B8D" w:rsidRDefault="00813DB8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2021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740,0 на предоплату за работы по оборудованию вертолета МИ-8АМТ;</w:t>
            </w:r>
          </w:p>
          <w:p w:rsidR="0072021D" w:rsidRPr="00431B8D" w:rsidRDefault="0072021D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F4EF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 тыс. руб. на оплату за выполнение работ по расшифровке п</w:t>
            </w:r>
            <w:r w:rsidR="00635039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олетной информации</w:t>
            </w:r>
            <w:r w:rsidR="005F4EF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Ми-8МТВ, Ми-8АМТ</w:t>
            </w:r>
            <w:r w:rsidR="00635039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35039" w:rsidRPr="00431B8D" w:rsidRDefault="00635039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D014B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91,54 тыс. руб. на оплату за дополнительные работы при капитальном ремонте насоса;</w:t>
            </w:r>
          </w:p>
          <w:p w:rsidR="008D014B" w:rsidRPr="00431B8D" w:rsidRDefault="008D014B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- 750,0 тыс. руб. на оплату за работы по оборудованию вертолета МИ-8АМТ</w:t>
            </w:r>
            <w:r w:rsidR="00800C5E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платеж)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014B" w:rsidRPr="00431B8D" w:rsidRDefault="008D014B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- 108,0 тыс. руб. на оплату за осмотр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прто.части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двиг</w:t>
            </w:r>
            <w:proofErr w:type="gram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ВЗ-117ВМ верт.Ми-8АМТ;</w:t>
            </w:r>
          </w:p>
          <w:p w:rsidR="008D014B" w:rsidRPr="00431B8D" w:rsidRDefault="008D014B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E513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32,875 тыс. руб. на оплату за сверку </w:t>
            </w:r>
            <w:proofErr w:type="spellStart"/>
            <w:r w:rsidR="008E513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</w:t>
            </w:r>
            <w:proofErr w:type="spellEnd"/>
            <w:r w:rsidR="008E513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комплекта. эксплуатационно-технической документации вертолета Ми-8Т с эталонным экземпляром;</w:t>
            </w:r>
          </w:p>
          <w:p w:rsidR="008E5133" w:rsidRPr="00431B8D" w:rsidRDefault="008E5133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D4ED6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 тыс. руб. на оплату за цепь ПР-15,875-23000-1(67зв) ТУ 2-5200-02;</w:t>
            </w:r>
          </w:p>
          <w:p w:rsidR="000D4ED6" w:rsidRPr="00431B8D" w:rsidRDefault="000D4ED6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00C5E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 тыс. руб. на оплату за работы по оборудованию вертолета МИ-8АМТ (2 платеж);</w:t>
            </w:r>
          </w:p>
          <w:p w:rsidR="00800C5E" w:rsidRPr="00431B8D" w:rsidRDefault="00800C5E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03E4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 тыс. руб. на оплату за работы по оборудованию вертолета МИ-8АМТ (3 платеж);</w:t>
            </w:r>
          </w:p>
          <w:p w:rsidR="00703E4C" w:rsidRPr="00431B8D" w:rsidRDefault="00703E4C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- 4 591,5 тыс. руб. на оплату за рулевой винт и цепь;</w:t>
            </w:r>
          </w:p>
          <w:p w:rsidR="00703E4C" w:rsidRPr="00431B8D" w:rsidRDefault="00703E4C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42EDE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1 175,0 тыс. руб. на оплату по счету № 8 от 26.04.2021 г. аванс 50% за работы по Договору № 03-21 от 23.04.2021 г.;</w:t>
            </w:r>
          </w:p>
          <w:p w:rsidR="00542EDE" w:rsidRPr="00431B8D" w:rsidRDefault="00542EDE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- 150,0 тыс. руб. за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информационные услуги по предоставлению доступа к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</w:t>
            </w:r>
            <w:proofErr w:type="gram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Ми-8МТВ-1.;</w:t>
            </w:r>
          </w:p>
          <w:p w:rsidR="00542EDE" w:rsidRPr="00431B8D" w:rsidRDefault="00542EDE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B530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 тыс. руб. на оплату за работы по оборудованию вертолета МИ-8АМТ (4 платеж);</w:t>
            </w:r>
          </w:p>
          <w:p w:rsidR="006B5304" w:rsidRPr="00431B8D" w:rsidRDefault="006B5304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D72BC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218,917 тыс. руб. на оплату за капитальный ремонт агрегата;</w:t>
            </w:r>
          </w:p>
          <w:p w:rsidR="00D91212" w:rsidRPr="00431B8D" w:rsidRDefault="00D91212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- 750,0 тыс. руб. на оплату за работы по оборудованию вертолета МИ-8АМТ (5 платеж);</w:t>
            </w:r>
          </w:p>
          <w:p w:rsidR="00D72BC1" w:rsidRPr="00431B8D" w:rsidRDefault="00D72BC1" w:rsidP="004A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60A6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1 237,5 тыс. руб. на оплату за восстановительный ремонт авиадвигателя ТВ3-117ВМ серии 02 №К7887218124</w:t>
            </w:r>
            <w:r w:rsidR="00D9121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A2D66" w:rsidRPr="00431B8D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летной годности самолетов Ан-2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D92E45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Предусмотренные</w:t>
            </w:r>
            <w:r w:rsidR="0082236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2236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республиканском бюджете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2236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год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общей сумме</w:t>
            </w:r>
            <w:r w:rsidR="0082236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5 355,0 тыс. рублей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2362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направлены:</w:t>
            </w:r>
          </w:p>
          <w:p w:rsidR="00822362" w:rsidRPr="00431B8D" w:rsidRDefault="00822362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D4C67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345,6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оплату за доп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олнительные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при капитальном ремонте насоса;</w:t>
            </w:r>
          </w:p>
          <w:p w:rsidR="00822362" w:rsidRPr="00431B8D" w:rsidRDefault="00822362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82B9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3 734,64</w:t>
            </w:r>
            <w:r w:rsidR="00ED4C67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ED4C67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r w:rsidR="00982B9D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капитальному ремонту самолета Ан-2;</w:t>
            </w:r>
          </w:p>
          <w:p w:rsidR="00982B9D" w:rsidRPr="00431B8D" w:rsidRDefault="00982B9D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90BA0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451,08 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B90BA0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оплату за изготовление изд. АРМ-406 ПЦДКТ.462524.406-02;</w:t>
            </w:r>
          </w:p>
          <w:p w:rsidR="00B90BA0" w:rsidRPr="00431B8D" w:rsidRDefault="00B90BA0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57469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75,0 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357469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окончательный расчет за подготовку </w:t>
            </w:r>
            <w:r w:rsidR="00827DF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воздушного судна</w:t>
            </w:r>
            <w:r w:rsidR="00357469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транспортировке автотранспортом</w:t>
            </w:r>
            <w:r w:rsidR="00827DF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27DF4" w:rsidRPr="00431B8D" w:rsidRDefault="00827DF4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706C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21,035 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F706C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оплата за сверку ЭТД самолета Ан-2 к ВЛП-2021г.;</w:t>
            </w:r>
          </w:p>
          <w:p w:rsidR="00F706CC" w:rsidRPr="00431B8D" w:rsidRDefault="00F706CC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853A3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 тыс. руб. на выполнение работ по сборке ВС АН-2 RA-70830;</w:t>
            </w:r>
          </w:p>
          <w:p w:rsidR="00B853A3" w:rsidRPr="00431B8D" w:rsidRDefault="00B853A3" w:rsidP="0082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- 64,08 тыс. руб. на оплату за выполнение работ по оценке соответствия требованиям к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летной годности ВС Ан-2 RA-70830.</w:t>
            </w:r>
          </w:p>
        </w:tc>
      </w:tr>
      <w:tr w:rsidR="003A2D66" w:rsidRPr="00431B8D" w:rsidTr="004A2AA8">
        <w:trPr>
          <w:trHeight w:val="5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lastRenderedPageBreak/>
              <w:t>1.2.4.</w:t>
            </w:r>
          </w:p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Поддержание летной годности самолетов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Robinson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6" w:rsidRPr="00431B8D" w:rsidRDefault="003A2D66" w:rsidP="004A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1" w:rsidRPr="00431B8D" w:rsidRDefault="00D92E45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Предусмотренные</w:t>
            </w:r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="000239B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уточненном</w:t>
            </w:r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бюджете в 2021 году 6</w:t>
            </w:r>
            <w:r w:rsidR="000239B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 тыс. рублей</w:t>
            </w:r>
            <w:r w:rsidR="000239BC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направлены на подготовку к полетам в весенне-летний период и проведение плановых ТО вертолета </w:t>
            </w:r>
            <w:proofErr w:type="spellStart"/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Robinson</w:t>
            </w:r>
            <w:proofErr w:type="spellEnd"/>
            <w:r w:rsidR="0030246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R-44 (в соответствии с графиком проведения плановых мероприятий по техническому обслуживанию ВС), а именно:</w:t>
            </w:r>
          </w:p>
          <w:p w:rsidR="00302461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1). замена магнето для запуска двигателя в связи с выходом из строя старого магнето;</w:t>
            </w:r>
          </w:p>
          <w:p w:rsidR="00302461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2). замена аккумулятора;</w:t>
            </w:r>
          </w:p>
          <w:p w:rsidR="00302461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3). замена кожуха обогрева аккумулятора;</w:t>
            </w:r>
          </w:p>
          <w:p w:rsidR="00302461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 замена свечей зажигания;</w:t>
            </w:r>
          </w:p>
          <w:p w:rsidR="00302461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5). замена масла двигателя и фильтров – ТО от налета часов.</w:t>
            </w:r>
          </w:p>
          <w:p w:rsidR="003A2D66" w:rsidRPr="00431B8D" w:rsidRDefault="00302461" w:rsidP="0030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 </w:t>
            </w:r>
            <w:proofErr w:type="spell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Robinson</w:t>
            </w:r>
            <w:proofErr w:type="spellEnd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R-44 исправно, готово к выполнению авиационных видов работ.</w:t>
            </w:r>
          </w:p>
        </w:tc>
      </w:tr>
      <w:tr w:rsidR="00974D9F" w:rsidRPr="00431B8D" w:rsidTr="004A2AA8">
        <w:trPr>
          <w:trHeight w:val="4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74035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автомобильного транспорта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9F" w:rsidRPr="00431B8D" w:rsidRDefault="00974D9F" w:rsidP="001F30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администрации муниципальных образований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9F" w:rsidRPr="00431B8D" w:rsidRDefault="00D92E45" w:rsidP="00D9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средства </w:t>
            </w:r>
            <w:r w:rsidR="006F4AA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сумме 17 000,0 тыс</w:t>
            </w:r>
            <w:proofErr w:type="gramStart"/>
            <w:r w:rsidR="006F4AA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6F4AA4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 </w:t>
            </w:r>
            <w:r w:rsidR="00B91CA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перенаправл</w:t>
            </w:r>
            <w:r w:rsidR="00DE0341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ены</w:t>
            </w:r>
            <w:r w:rsidR="00B91CA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субсидии по возмещению разницы в тарифах при перевозке пассажиров воздушным транспортом на местных в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оздушных линиях, </w:t>
            </w:r>
            <w:r w:rsidR="00B91CA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передачей 40 автобусов марки «</w:t>
            </w:r>
            <w:proofErr w:type="spellStart"/>
            <w:r w:rsidR="00B91CA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Лиаз</w:t>
            </w:r>
            <w:proofErr w:type="spellEnd"/>
            <w:r w:rsidR="00B91CAF"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мэрией г. Москвы в собственность Правительства Республики Тыва</w:t>
            </w:r>
          </w:p>
        </w:tc>
      </w:tr>
      <w:tr w:rsidR="00974D9F" w:rsidRPr="00431B8D" w:rsidTr="004A2AA8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74035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автобусов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9F" w:rsidRPr="00431B8D" w:rsidRDefault="00974D9F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28C" w:rsidRPr="003C6B9C" w:rsidTr="004A2AA8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1B8D">
              <w:rPr>
                <w:rFonts w:ascii="Times New Roman" w:eastAsia="Calibri" w:hAnsi="Times New Roman" w:cs="Times New Roman"/>
              </w:rPr>
              <w:t xml:space="preserve">2.2.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поддержку автомобильного транспорта (на возмещение затрат перевозчикам, осуществляющим регулярные пассажирские перевозки автомобильным транспортом общего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пользования по межмуниципальным маршрутам регулярных перевозок по регулируемым тарифам на территории Республики Тыва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C" w:rsidRPr="00431B8D" w:rsidRDefault="00AA528C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45" w:rsidRPr="00431B8D" w:rsidRDefault="00D92E45" w:rsidP="00D9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республиканском бюджете Республики Тыва в 2021 году на возмещение недополученных доходов перевозчикам в связи с оказанием услуг по регулярным пассажирским перевозкам </w:t>
            </w: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автомобильным транспортом общего пользования на межмуниципальных маршрутах регулярных перевозок по регулируемым тарифам на территории Республики Тыва были предусмотрены финансовые средства в размере 8 521,8 тыс. рублей, которые перенаправлены внесением изменений в Закон о бюджете на внутренние авиарейсы.</w:t>
            </w:r>
            <w:proofErr w:type="gramEnd"/>
          </w:p>
          <w:p w:rsidR="00AA528C" w:rsidRPr="003C6B9C" w:rsidRDefault="00D92E45" w:rsidP="00D9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сегодняшний день в целях организации межмуниципальных автобусных перевозок на выполнение регулярных рейсов по Республике Тыва Министерством дорожно-транспортного комплекса Республики Тыва разработан проект Порядка предоставления субсидии, который проходит процедуру согласования в Министерстве юстиции Республики Тыва.</w:t>
            </w:r>
          </w:p>
        </w:tc>
      </w:tr>
      <w:tr w:rsidR="00E94244" w:rsidRPr="003C6B9C" w:rsidTr="004A2AA8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0D664D" w:rsidP="00AA52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B9C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0D664D" w:rsidP="00AA528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реализацию мероприятий, направленных на развитие автомобильного транспорта (на разработку ПСД автовокзала в г. Кызыл)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E94244" w:rsidP="00AA528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E94244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E94244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E94244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44" w:rsidRPr="003C6B9C" w:rsidRDefault="00E94244" w:rsidP="00A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15" w:rsidRPr="003C6B9C" w:rsidRDefault="00EA3415" w:rsidP="00EA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организации регулярной перевозки пассажиров по межмуниципальным, межрегиональным маршрутам в республиканском бюджете Республики Тыва на 2021 год </w:t>
            </w:r>
            <w:r w:rsidR="0024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</w:t>
            </w: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предусмотрены финансовые средства на разработку проектно-сметной документации объекта «Автовокзал в г. Кызыл» в сумме 5 755,6 тыс. рублей.</w:t>
            </w:r>
          </w:p>
          <w:p w:rsidR="00E94244" w:rsidRPr="003C6B9C" w:rsidRDefault="00EA3415" w:rsidP="00EA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тем, что обеспечение исполнения республиканского бюджета Республики Тыва по финансированию расходов капитальных вложений в сфере </w:t>
            </w: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строительства и развития строительной индустрии не входит в полномочия Министерства дорожно-транспортного комплекса Республики Тыва, в целях эффективного использования средств Министерством дорожно-транспортного комплекса Республики Тыва внесено предложение для внесения изменений в Закон Республики Тыва о республиканском бюджете Республики Тыва на 2021 год о перенаправлении финансовых средств на сумму 5 755,6 тыс. рублей, предусмотренные на разработку ПСД объекта «Автовокзал в г. Кызыл» в Министерство строительства и жилищно-коммунального хозяйства Республики Тыва</w:t>
            </w:r>
          </w:p>
        </w:tc>
      </w:tr>
      <w:tr w:rsidR="00740359" w:rsidRPr="003C6B9C" w:rsidTr="00366002">
        <w:trPr>
          <w:trHeight w:val="563"/>
        </w:trPr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59" w:rsidRPr="003C6B9C" w:rsidRDefault="00740359" w:rsidP="00A23E9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5DC2" w:rsidRPr="003C6B9C" w:rsidTr="004A2AA8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C2" w:rsidRPr="003C6B9C" w:rsidRDefault="00825DC2" w:rsidP="00C45721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E540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Calibri" w:hAnsi="Times New Roman" w:cs="Times New Roman"/>
                <w:b/>
              </w:rPr>
              <w:t>Подпрограмма 3 «Повышение безопасности дорожного движения на 2017-2024 годы»,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DC2" w:rsidRPr="003C6B9C" w:rsidRDefault="00CA0096" w:rsidP="00E540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6B9C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C2" w:rsidRPr="003C6B9C" w:rsidRDefault="00825DC2" w:rsidP="00F4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5DC2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C2" w:rsidRPr="003C6B9C" w:rsidRDefault="00825DC2" w:rsidP="00C45721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системы предупреждения опасного поведения участников дорожного движения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C2" w:rsidRPr="003C6B9C" w:rsidRDefault="00825DC2" w:rsidP="00676C4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C2" w:rsidRPr="003C6B9C" w:rsidRDefault="00825DC2" w:rsidP="006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Оснащение техническими комплексами подразделений, осуществляющих контрольные и надзорные функции в области БДД, стационарными и мобильными комплексами видеофиксации нарушений Правил дорожного движения, включая доставку, проведение коммуникаций (сетевая </w:t>
            </w: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магистраль, электроснабжение), общестроительные работы (монтаж и установку комплексов видеофиксации) и техническое содержание объектов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24210A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C92EC3" w:rsidRDefault="00684002" w:rsidP="0030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Предусмотренные финансовые средства на общую сумму 50 910,1  тыс. рублей на поставку и установку перекрестков, оснащенные комплексами автоматической </w:t>
            </w:r>
            <w:proofErr w:type="spell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фотовидеофиксации</w:t>
            </w:r>
            <w:proofErr w:type="spell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нарушений правил дорожного движения в количестве 11 шт. в течение 2021 </w:t>
            </w:r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г. не освоены, остатки уточнением Закона о бюджете в 2022 г. будут предусмотрены на обеспечение заключенных </w:t>
            </w:r>
            <w:proofErr w:type="spell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онтрактов</w:t>
            </w:r>
            <w:proofErr w:type="spell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20 декабря 2021г.: №01122000008210046600001, №01122000008210046590001, №01122000008210046580001 на общую сумму 50 360,0 тыс</w:t>
            </w:r>
            <w:proofErr w:type="gram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ублей, приходящиеся на приобретение указанных средств </w:t>
            </w:r>
            <w:proofErr w:type="spell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фотовидеофиксации</w:t>
            </w:r>
            <w:proofErr w:type="spell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работ по обработке данных камер видеофиксации и подготовке постановлений по делам об административных правонарушениях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  <w:r w:rsid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2" w:rsidRPr="00C92EC3" w:rsidRDefault="00684002" w:rsidP="0068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г. комплексами, работающими в автоматическом режиме, направлено 105 692 штук (АППГ – 82 561) постановлений об административных правонарушениях на собственников транспортных средств на сумму  67</w:t>
            </w:r>
            <w:r w:rsidR="00C92EC3"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476,8</w:t>
            </w:r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</w:t>
            </w:r>
            <w:proofErr w:type="gramStart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 (АППГ – 53 441,8) тыс. рублей. </w:t>
            </w:r>
          </w:p>
          <w:p w:rsidR="003229A9" w:rsidRPr="00C92EC3" w:rsidRDefault="00684002" w:rsidP="0068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Работникам ГУП Республики Тыва «Центр организации дорожного движения» уплачена зарплата за январь-декабрь 2021 г., кредиторской задолженности не имеется.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почтовых расходов по рассылке постановлений по делам об административных правонарушениях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684002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684002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684002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684002" w:rsidP="00F0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РТ, филиалом ФГУП «Почта России» и МВД по РТ заключены трехсторонние </w:t>
            </w:r>
            <w:proofErr w:type="spellStart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Госконтракты</w:t>
            </w:r>
            <w:proofErr w:type="spellEnd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86/21-дог-Ф17 от 02 марта 2021 г., № 2021.005306 от 16.07.2021 г., № 2020.02008 от 23.12.2020 г.  на оказание услуг по приему, обработке, пересылке и доставке (вручению) заказных почтовых отправлений, содержащих постановления о назначении </w:t>
            </w:r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административного наказания в области дорожного движения.</w:t>
            </w:r>
            <w:proofErr w:type="gramEnd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2021 году было предусмотрено сре</w:t>
            </w:r>
            <w:proofErr w:type="gramStart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с</w:t>
            </w:r>
            <w:proofErr w:type="gramEnd"/>
            <w:r w:rsidRPr="0068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умме 18 000,0 тыс. рублей, из которых профинансировано 17 916,1 тыс. рублей, или 99,5 % от годового плана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популяризация детского общественного движения юных инспекторов движения (ЮИД) в дошкольных и образовательных учреждениях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487F66" w:rsidRDefault="00C92EC3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487F66" w:rsidRDefault="0024210A" w:rsidP="00242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ограничительными мерами по предотвращению </w:t>
            </w:r>
            <w:proofErr w:type="spellStart"/>
            <w:r w:rsidRPr="0024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коронавирусной</w:t>
            </w:r>
            <w:proofErr w:type="spellEnd"/>
            <w:r w:rsidRPr="0024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инфекции мероприятие отменено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создание информационно-пропагандистских телерадиопрограмм, направленных на участников дорожного движения, для последующего размещения на телевизионных каналах, радиостанциях. Организация в печатных средствах массовой информации специальных рублик и выпуск специализированной печатной продукции по БДД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9" w:rsidRPr="00A43FA9" w:rsidRDefault="00C142E7" w:rsidP="00A43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01.01.2021 г</w:t>
            </w:r>
            <w:r w:rsidR="00A43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из предусмотренной суммы </w:t>
            </w:r>
            <w:r w:rsidR="00A43FA9" w:rsidRPr="00A43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 тыс. рублей профинансир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овано 494,4</w:t>
            </w:r>
            <w:r w:rsidR="00A43FA9" w:rsidRPr="00A43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блей, исполнение составляет 82,4%, остаток 105,6</w:t>
            </w:r>
            <w:r w:rsidR="00A43FA9" w:rsidRPr="00A43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рублей.</w:t>
            </w:r>
          </w:p>
          <w:p w:rsidR="00A43FA9" w:rsidRPr="00A43FA9" w:rsidRDefault="00A43FA9" w:rsidP="00A43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Справочно: </w:t>
            </w:r>
          </w:p>
          <w:p w:rsidR="00C142E7" w:rsidRPr="00C142E7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01.01.2022 г. заключены и профинансированы следующие договоры: </w:t>
            </w:r>
          </w:p>
          <w:p w:rsidR="00C142E7" w:rsidRPr="00C142E7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</w:t>
            </w:r>
            <w:proofErr w:type="gram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ООО</w:t>
            </w:r>
            <w:proofErr w:type="gram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«Радуга плюс» и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подготовку и создание печатной продукции от 18.03.2021 г. № 5/21 на сумму 135,3 тыс. рублей на проведение Республиканского Чемпионата по авто многоборью «Авто-Леди»;</w:t>
            </w:r>
          </w:p>
          <w:p w:rsidR="00C142E7" w:rsidRPr="00C142E7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между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Дансюрюн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Д.Д. и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на создание социальных роликов по тематике ПДД на сумму 130,0 тыс. рублей, профинансировано 100%; </w:t>
            </w:r>
          </w:p>
          <w:p w:rsidR="00C142E7" w:rsidRPr="00C142E7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</w:t>
            </w:r>
            <w:proofErr w:type="gram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ООО</w:t>
            </w:r>
            <w:proofErr w:type="gram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«Центр рекламных услуг» и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на </w:t>
            </w: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размещение социальных роликов на рекламных щитах ост. Почты, ул. Ленина по тематике ПДД на сумму 113,7 тыс. рублей;</w:t>
            </w:r>
          </w:p>
          <w:p w:rsidR="00C142E7" w:rsidRPr="00C142E7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между ИП Журавлев В.В. (Городок) и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на выполнение работ/услуг по ПДД от 23.09.2021 г. № 12/21 на сумму 100,0 тыс. рублей;</w:t>
            </w:r>
          </w:p>
          <w:p w:rsidR="003229A9" w:rsidRPr="003C6B9C" w:rsidRDefault="00C142E7" w:rsidP="00C1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между ИП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Шыырап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Ш.М. на выполнение работ, услуг по ПДД от 17.12.2021 г. № 29 ИП на сумму 15,4 тыс</w:t>
            </w:r>
            <w:proofErr w:type="gram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республиканских отборочных мероприятий отрядов юных инспекторов движения (ЮИД) и участие во всероссийских детских массовых мероприятиях: слетах юных инспекторов, всероссийском конкурсе-фестивале «Безопасное колесо» и авто многоборью, организуемых Главным Управлением  обеспечения безопасности дорожного движения МВД РФ с оплатой проезда, питания, проживания участников и сопровождающих лиц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C142E7" w:rsidP="0019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Осуществлена передвижка средств в сумме 400 тыс</w:t>
            </w:r>
            <w:proofErr w:type="gram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 с  мероприятия «Приобретение авиабилетов для участников конкурса «Безопасное колесо» и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Автомногоборье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организуемое МВД России» на прочие расходы по приобретению </w:t>
            </w:r>
            <w:proofErr w:type="spellStart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</w:t>
            </w:r>
            <w:proofErr w:type="spellEnd"/>
            <w:r w:rsidRP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приспособлений школьникам с 1 по 11 класс образовательных учреждений из малоимущих семей.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серий широкомасштабных информационно – пропагандистских социальных кампаний и акций, направленных на формирование устойчивых навыков законопослушного поведения на дорогах, создание профильной смены юных инспекторов движения на базе Детского оздоровительного лагеря, отдыха детей,  а также формирование навыков безопасного поведения на дорогах у детей и подростков («Внимание – дети!», «Пристегнись!», «Пешеход на переход», </w:t>
            </w:r>
          </w:p>
          <w:p w:rsidR="003229A9" w:rsidRPr="003C6B9C" w:rsidRDefault="003229A9" w:rsidP="003229A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</w:t>
            </w: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республиканских конкурсов: «Мы и дорога», «Безопасная дорога детства», «Перекресток», «Дорога и дети», «Дорога без Опасности»).</w:t>
            </w:r>
          </w:p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Республиканские очно-заочные конкурсы по возрастным категориям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71" w:rsidRPr="00913371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01.</w:t>
            </w:r>
            <w:r w:rsid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74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C14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из предусмотренной суммы </w:t>
            </w: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 тыс. рублей, освоение составляет 4,1 % или 12,150 тыс. рублей от плана. Остаток 287,850 тыс. рублей.</w:t>
            </w:r>
          </w:p>
          <w:p w:rsidR="00913371" w:rsidRPr="00913371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</w:t>
            </w:r>
          </w:p>
          <w:p w:rsidR="00913371" w:rsidRPr="00913371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проведены республиканские конкурсы: роликов «Мы - «ЗА» безопасные дороги Тувы!», «Безопасное колесо», «Дорога без опасности», чемпионат по </w:t>
            </w:r>
            <w:proofErr w:type="spellStart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автомногоборью</w:t>
            </w:r>
            <w:proofErr w:type="spellEnd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«Авто-Леди», семинар по организованной </w:t>
            </w: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перевозке групп детей, а также размещены баннеры по предупреждению дорожно-транспортных происшествий (ул. Калинина и Абаканская).</w:t>
            </w:r>
          </w:p>
          <w:p w:rsidR="00913371" w:rsidRPr="00913371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продолжающимися </w:t>
            </w:r>
            <w:proofErr w:type="spellStart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коронавирусной</w:t>
            </w:r>
            <w:proofErr w:type="spellEnd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инфекции функционирование профильной смены «Школа дорожной безопасности» отменено, согласно рекомендации Роспотребнадзора по Республике Тыва.</w:t>
            </w:r>
          </w:p>
          <w:p w:rsidR="00913371" w:rsidRPr="00913371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Заключены договора: </w:t>
            </w:r>
          </w:p>
          <w:p w:rsidR="00C3437F" w:rsidRPr="003C6B9C" w:rsidRDefault="00913371" w:rsidP="0091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 26.02.2021 г. № 3/21 на сумму 12,150 тыс. рублей на оказание услуг по проведению Республиканского Чемпионата по авто многоборью «Авто-Леди» межд</w:t>
            </w:r>
            <w:proofErr w:type="gramStart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ООО</w:t>
            </w:r>
            <w:proofErr w:type="gramEnd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«Зодиак» и </w:t>
            </w:r>
            <w:proofErr w:type="spellStart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Миндортрансом</w:t>
            </w:r>
            <w:proofErr w:type="spellEnd"/>
            <w:r w:rsidRPr="0091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</w:t>
            </w:r>
            <w:r w:rsid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24210A" w:rsidP="002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октябрь-декабрь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0" w:rsidRPr="008B1E80" w:rsidRDefault="008B1E80" w:rsidP="008B1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проводится в целях достижения значений показателей, выполнения плана мероприятий по реализации регионального проекта, </w:t>
            </w:r>
            <w:proofErr w:type="gramStart"/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Соглашения</w:t>
            </w:r>
            <w:proofErr w:type="gramEnd"/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заключенного между МВД России и </w:t>
            </w:r>
            <w:proofErr w:type="spellStart"/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Миндортранс</w:t>
            </w:r>
            <w:proofErr w:type="spellEnd"/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 от 30.04.2019 г. № 188-2019-R30039-1.</w:t>
            </w:r>
          </w:p>
          <w:p w:rsidR="00AB599F" w:rsidRDefault="00AB599F" w:rsidP="00AB5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продолжающейся</w:t>
            </w:r>
            <w:r w:rsidR="008B1E80"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B1E80"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коронавирусной</w:t>
            </w:r>
            <w:proofErr w:type="spellEnd"/>
            <w:r w:rsidR="008B1E80"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  <w:p w:rsidR="003229A9" w:rsidRPr="003C6B9C" w:rsidRDefault="008B1E80" w:rsidP="00AB5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мероприятия </w:t>
            </w:r>
            <w:r w:rsid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отменено.</w:t>
            </w:r>
          </w:p>
        </w:tc>
      </w:tr>
      <w:tr w:rsidR="003229A9" w:rsidRPr="003C6B9C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светоотражающих приспособлений для распространения в младших классах образовательных учреждений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3C6B9C" w:rsidRDefault="0024210A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E" w:rsidRPr="007C622E" w:rsidRDefault="007C622E" w:rsidP="007C6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постановлением Правительства РТ от 14.11.2014 г. № 1197 с 1 июля 2015 года вступили в силу изменения в ПДД РФ, согласно которым пешеходам рекомендуется иметь при себе светоотражающие элементы.</w:t>
            </w:r>
            <w:r w:rsidR="004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6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7C6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предназначены</w:t>
            </w:r>
            <w:r w:rsidR="004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6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приобретения светоотражающих элементов для первоклассников.</w:t>
            </w:r>
          </w:p>
          <w:p w:rsidR="003229A9" w:rsidRPr="003C6B9C" w:rsidRDefault="007C622E" w:rsidP="007C6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совместному плану мероприятий по профилактике детского дорожно-транспортного травматизма и снижению детской смертности в результате дорожно-транспортных происшествий на автомобильных дорогах общего пользования регионального и межмуниципального значения </w:t>
            </w:r>
            <w:r w:rsid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AB599F" w:rsidRP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аключен договор от 17.12.2021 г. с ООО "Светлячок" № 18/21 в сумме 449 тыс</w:t>
            </w:r>
            <w:proofErr w:type="gramStart"/>
            <w:r w:rsidR="00AB599F" w:rsidRP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AB599F" w:rsidRP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 на приобретение </w:t>
            </w:r>
            <w:proofErr w:type="spellStart"/>
            <w:r w:rsidR="00AB599F" w:rsidRP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</w:t>
            </w:r>
            <w:proofErr w:type="spellEnd"/>
            <w:r w:rsidR="00AB599F" w:rsidRPr="00AB5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приспособлений.</w:t>
            </w:r>
          </w:p>
        </w:tc>
      </w:tr>
      <w:tr w:rsidR="003229A9" w:rsidRPr="00922CE7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 xml:space="preserve">2.7.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Нанесение дорожной разметки и установка дорожных знаков. Устройство автоматизированного весогабаритного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1CAC">
              <w:rPr>
                <w:rFonts w:ascii="Times New Roman" w:eastAsia="Calibri" w:hAnsi="Times New Roman" w:cs="Times New Roman"/>
                <w:highlight w:val="yellow"/>
              </w:rPr>
              <w:t xml:space="preserve">Министерство дорожно-транспортного комплекса Республики Тыва,    </w:t>
            </w:r>
          </w:p>
          <w:p w:rsidR="003229A9" w:rsidRPr="00BE1CAC" w:rsidRDefault="003229A9" w:rsidP="003229A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1CAC">
              <w:rPr>
                <w:rFonts w:ascii="Times New Roman" w:eastAsia="Calibri" w:hAnsi="Times New Roman" w:cs="Times New Roman"/>
                <w:highlight w:val="yellow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июль-сентябрь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A9" w:rsidRPr="00BE1CAC" w:rsidRDefault="003229A9" w:rsidP="0032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октябрь-ноябрь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В целях повышения уровня безопасности дорожного движения из Дорожного фонда Республики Тыва на устройство горизонтальной разметки на автомобильные дороги </w:t>
            </w:r>
            <w:r w:rsidR="001434BE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из 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предусмотрен</w:t>
            </w:r>
            <w:r w:rsidR="001434BE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ных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r w:rsidR="00115CA7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средств всего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выполнено работ на сумму 35259</w:t>
            </w:r>
            <w:r w:rsidR="00115CA7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037 </w:t>
            </w:r>
            <w:r w:rsidR="00115CA7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тыс. 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рублей, работы выполнены на 89 %.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 подрядной организацией ООО «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Дортехсервис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» заключен государственный контракт № Ф.202123 от 28 мая 2021 года на выполнение работ по устройству осевой и краевой горизонтальной разметки автомобильных дорог общего пользования регионального или межмуниципального значения, (10 дорог), сметной стоимостью 16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417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494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тыс.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рублей: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Бижиктиг-Хая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, 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участок км 0+000-1+300;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Тээли, км 0+000-км 37+900;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Абакан-Ак-Довурак, участок км 182+000-км 418+714;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Эрги-Барлык км 0+000-км 0+528;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Чыраа-Бажы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5+600;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Чадан-Бажын-Алаак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5+000;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Хондергей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1+688;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Кызыл-Мажалык-Эрги-Барлык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25+688;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Чадан-Суг-Аксы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22+350;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Чадан-Ак-Довурак, участок км 0+000-км 69+350, работы выполнены.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 подрядной организацией ООО «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Сая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» заключен государственный контракт № Ф.202122 от 28 мая 2021 года на выполнение работ по устройству осевой и краевой горизонтальной разметки автомобильных дорог (15 дорог), сметной стоимостью 18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841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542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тыс.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рублей: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Хадын, участок км 0+000-25+400;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Аржаан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км 0+000-км 1+300;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мараловодческому хозяйству «Туран», участок км 0+000-км 17+601;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Станции Тайга, км 0+000-км 19+986;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Кызыл-Ээрбек-Баян-Кол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24+000;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Кара-Хаак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, км 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0+000-км 19+040;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объездная г. Кызыл и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пгт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Каа-Хем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0+000-15+722;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Кызыл-Сарыг-Сеп, участок км 13+000-км 88+131;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Усть-Бурен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7+200;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Кызыл-Эрзин-Госграница с Монголией, участок км 0+000-км 223+000;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о.Дус-Холь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19+219;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Бай-Хаак, участок км 0+000-км 24+000;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Бай-Хаак-Чал-Кежиг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6+000;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Бай-Хаак-Балгазын, участок км 0+000-км 5+000;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Сукпак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участок км 0+000-км 1+100, работы выполнены.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Государственный контракт с подрядной организацией ООО «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Байлак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» на выполнение работ по устройству горизонтальной разметки на автомобильные дороги: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Усть-Элегест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-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Кочетово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Элегест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Ийи-Тал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п. Хову-Аксы</w:t>
            </w:r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Арыг-Узуу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Чодураа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Торгалыг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Булун-Терек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Алдын-Булак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Арыг-Бажы</w:t>
            </w:r>
            <w:proofErr w:type="spellEnd"/>
          </w:p>
          <w:p w:rsidR="00045A6A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Подъезд к с. Чаа-Холь</w:t>
            </w:r>
          </w:p>
          <w:p w:rsidR="003229A9" w:rsidRPr="00BE1CAC" w:rsidRDefault="00045A6A" w:rsidP="0004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Подъезд к с.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Сукпак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расторгнут </w:t>
            </w:r>
            <w:proofErr w:type="spellStart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госконтракт</w:t>
            </w:r>
            <w:proofErr w:type="spellEnd"/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(43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487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</w:t>
            </w:r>
            <w:r w:rsidR="00C4285A"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тыс.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рублей) из-за нарушения сроков выполнения работ. В настоящее </w:t>
            </w:r>
            <w:r w:rsidRPr="00BE1CA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время конкурсная документация размещена на проведение повторного аукциона.</w:t>
            </w:r>
            <w:bookmarkStart w:id="0" w:name="_GoBack"/>
            <w:bookmarkEnd w:id="0"/>
          </w:p>
        </w:tc>
      </w:tr>
    </w:tbl>
    <w:p w:rsidR="003D1A6D" w:rsidRPr="00932B0E" w:rsidRDefault="003D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D1A6D" w:rsidRPr="00932B0E" w:rsidSect="004A2AA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0AD"/>
    <w:multiLevelType w:val="multilevel"/>
    <w:tmpl w:val="7868D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3449AF"/>
    <w:multiLevelType w:val="hybridMultilevel"/>
    <w:tmpl w:val="FFE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5136F"/>
    <w:multiLevelType w:val="hybridMultilevel"/>
    <w:tmpl w:val="7020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1BA"/>
    <w:rsid w:val="000008C6"/>
    <w:rsid w:val="00017E30"/>
    <w:rsid w:val="000239BC"/>
    <w:rsid w:val="00045A6A"/>
    <w:rsid w:val="00064C3A"/>
    <w:rsid w:val="000751FA"/>
    <w:rsid w:val="00076A78"/>
    <w:rsid w:val="00080279"/>
    <w:rsid w:val="000C2920"/>
    <w:rsid w:val="000D4ED6"/>
    <w:rsid w:val="000D664D"/>
    <w:rsid w:val="000E5564"/>
    <w:rsid w:val="000F3F57"/>
    <w:rsid w:val="00107105"/>
    <w:rsid w:val="00115CA7"/>
    <w:rsid w:val="00122AAA"/>
    <w:rsid w:val="001434BE"/>
    <w:rsid w:val="00150E54"/>
    <w:rsid w:val="00162FDB"/>
    <w:rsid w:val="00165021"/>
    <w:rsid w:val="001754DA"/>
    <w:rsid w:val="00175CF1"/>
    <w:rsid w:val="0018787D"/>
    <w:rsid w:val="0019221B"/>
    <w:rsid w:val="001A61DE"/>
    <w:rsid w:val="001B0EBF"/>
    <w:rsid w:val="001C6361"/>
    <w:rsid w:val="001D54CE"/>
    <w:rsid w:val="001E54A9"/>
    <w:rsid w:val="001F302F"/>
    <w:rsid w:val="001F5006"/>
    <w:rsid w:val="00223EBD"/>
    <w:rsid w:val="0024210A"/>
    <w:rsid w:val="002555A6"/>
    <w:rsid w:val="002628BA"/>
    <w:rsid w:val="002642B6"/>
    <w:rsid w:val="00285C40"/>
    <w:rsid w:val="00292FC6"/>
    <w:rsid w:val="002A4E35"/>
    <w:rsid w:val="002B1815"/>
    <w:rsid w:val="002C33DC"/>
    <w:rsid w:val="002C54D5"/>
    <w:rsid w:val="002E2677"/>
    <w:rsid w:val="00302461"/>
    <w:rsid w:val="00304E1F"/>
    <w:rsid w:val="00306689"/>
    <w:rsid w:val="00307492"/>
    <w:rsid w:val="00311B4E"/>
    <w:rsid w:val="00315D75"/>
    <w:rsid w:val="003171ED"/>
    <w:rsid w:val="00321BFC"/>
    <w:rsid w:val="003229A9"/>
    <w:rsid w:val="00340A24"/>
    <w:rsid w:val="003423AE"/>
    <w:rsid w:val="0035292B"/>
    <w:rsid w:val="00357469"/>
    <w:rsid w:val="00360A64"/>
    <w:rsid w:val="00361948"/>
    <w:rsid w:val="00366002"/>
    <w:rsid w:val="00367580"/>
    <w:rsid w:val="003716C9"/>
    <w:rsid w:val="003963F5"/>
    <w:rsid w:val="00397D00"/>
    <w:rsid w:val="003A1715"/>
    <w:rsid w:val="003A2D66"/>
    <w:rsid w:val="003A528D"/>
    <w:rsid w:val="003C1426"/>
    <w:rsid w:val="003C6B9C"/>
    <w:rsid w:val="003D1A6D"/>
    <w:rsid w:val="003D3712"/>
    <w:rsid w:val="003D41B9"/>
    <w:rsid w:val="0041578D"/>
    <w:rsid w:val="004212B5"/>
    <w:rsid w:val="00427CDE"/>
    <w:rsid w:val="00431B8D"/>
    <w:rsid w:val="00433F8E"/>
    <w:rsid w:val="0045435A"/>
    <w:rsid w:val="00472EEC"/>
    <w:rsid w:val="00482F39"/>
    <w:rsid w:val="00487F66"/>
    <w:rsid w:val="0049028D"/>
    <w:rsid w:val="00496275"/>
    <w:rsid w:val="00497AAB"/>
    <w:rsid w:val="004A2AA8"/>
    <w:rsid w:val="004B242D"/>
    <w:rsid w:val="004C112A"/>
    <w:rsid w:val="004C3BC7"/>
    <w:rsid w:val="004C6A21"/>
    <w:rsid w:val="00500563"/>
    <w:rsid w:val="00505F80"/>
    <w:rsid w:val="005346FF"/>
    <w:rsid w:val="00535F6E"/>
    <w:rsid w:val="00542EDE"/>
    <w:rsid w:val="00553E15"/>
    <w:rsid w:val="00572448"/>
    <w:rsid w:val="00574B06"/>
    <w:rsid w:val="00575456"/>
    <w:rsid w:val="0058305A"/>
    <w:rsid w:val="0059230F"/>
    <w:rsid w:val="005A474B"/>
    <w:rsid w:val="005B5756"/>
    <w:rsid w:val="005B6153"/>
    <w:rsid w:val="005D5283"/>
    <w:rsid w:val="005E1661"/>
    <w:rsid w:val="005E55C3"/>
    <w:rsid w:val="005F4EFF"/>
    <w:rsid w:val="006265B3"/>
    <w:rsid w:val="006307AB"/>
    <w:rsid w:val="00635039"/>
    <w:rsid w:val="00637E40"/>
    <w:rsid w:val="0065036F"/>
    <w:rsid w:val="006630AC"/>
    <w:rsid w:val="00667BE6"/>
    <w:rsid w:val="006731D5"/>
    <w:rsid w:val="00673A1A"/>
    <w:rsid w:val="00676C45"/>
    <w:rsid w:val="00684002"/>
    <w:rsid w:val="006848B4"/>
    <w:rsid w:val="0068625A"/>
    <w:rsid w:val="006927BE"/>
    <w:rsid w:val="006B1342"/>
    <w:rsid w:val="006B5304"/>
    <w:rsid w:val="006C1E9B"/>
    <w:rsid w:val="006C79E7"/>
    <w:rsid w:val="006D343F"/>
    <w:rsid w:val="006E587F"/>
    <w:rsid w:val="006F4AA4"/>
    <w:rsid w:val="00703E4C"/>
    <w:rsid w:val="00705095"/>
    <w:rsid w:val="0072021D"/>
    <w:rsid w:val="00740359"/>
    <w:rsid w:val="007A7EE9"/>
    <w:rsid w:val="007C622E"/>
    <w:rsid w:val="007D3B9F"/>
    <w:rsid w:val="007E2AAC"/>
    <w:rsid w:val="007E47E6"/>
    <w:rsid w:val="00800C5E"/>
    <w:rsid w:val="00813DB8"/>
    <w:rsid w:val="00817998"/>
    <w:rsid w:val="008205C2"/>
    <w:rsid w:val="00822362"/>
    <w:rsid w:val="00824AD6"/>
    <w:rsid w:val="00825DC2"/>
    <w:rsid w:val="00827DF4"/>
    <w:rsid w:val="00846650"/>
    <w:rsid w:val="0085722A"/>
    <w:rsid w:val="0087083B"/>
    <w:rsid w:val="00882C08"/>
    <w:rsid w:val="008A29E0"/>
    <w:rsid w:val="008A3B43"/>
    <w:rsid w:val="008B1B65"/>
    <w:rsid w:val="008B1E80"/>
    <w:rsid w:val="008D014B"/>
    <w:rsid w:val="008D1956"/>
    <w:rsid w:val="008D5C3C"/>
    <w:rsid w:val="008D6A71"/>
    <w:rsid w:val="008E3C57"/>
    <w:rsid w:val="008E5133"/>
    <w:rsid w:val="008F750D"/>
    <w:rsid w:val="00910DC1"/>
    <w:rsid w:val="00913371"/>
    <w:rsid w:val="009173B2"/>
    <w:rsid w:val="00922CE7"/>
    <w:rsid w:val="00924EAF"/>
    <w:rsid w:val="0093109B"/>
    <w:rsid w:val="009327D0"/>
    <w:rsid w:val="00932B0E"/>
    <w:rsid w:val="00942E77"/>
    <w:rsid w:val="00974D9F"/>
    <w:rsid w:val="00982B9D"/>
    <w:rsid w:val="009866A8"/>
    <w:rsid w:val="009A299D"/>
    <w:rsid w:val="009A60B0"/>
    <w:rsid w:val="009A7BF6"/>
    <w:rsid w:val="009B1E08"/>
    <w:rsid w:val="009C7F92"/>
    <w:rsid w:val="009E4A0E"/>
    <w:rsid w:val="009F3AA3"/>
    <w:rsid w:val="00A10BCD"/>
    <w:rsid w:val="00A1113C"/>
    <w:rsid w:val="00A1766A"/>
    <w:rsid w:val="00A23E94"/>
    <w:rsid w:val="00A25DC3"/>
    <w:rsid w:val="00A42878"/>
    <w:rsid w:val="00A43FA9"/>
    <w:rsid w:val="00A46F81"/>
    <w:rsid w:val="00A561BA"/>
    <w:rsid w:val="00A61880"/>
    <w:rsid w:val="00A713E3"/>
    <w:rsid w:val="00A94B60"/>
    <w:rsid w:val="00AA0C0A"/>
    <w:rsid w:val="00AA528C"/>
    <w:rsid w:val="00AB1C5B"/>
    <w:rsid w:val="00AB4CF5"/>
    <w:rsid w:val="00AB599F"/>
    <w:rsid w:val="00AF0183"/>
    <w:rsid w:val="00B241E0"/>
    <w:rsid w:val="00B3026C"/>
    <w:rsid w:val="00B43BD2"/>
    <w:rsid w:val="00B446CD"/>
    <w:rsid w:val="00B853A3"/>
    <w:rsid w:val="00B85596"/>
    <w:rsid w:val="00B90BA0"/>
    <w:rsid w:val="00B91CAF"/>
    <w:rsid w:val="00B9458B"/>
    <w:rsid w:val="00BA2706"/>
    <w:rsid w:val="00BD21E6"/>
    <w:rsid w:val="00BE1CAC"/>
    <w:rsid w:val="00BE3C8F"/>
    <w:rsid w:val="00BE4FC2"/>
    <w:rsid w:val="00BF0E57"/>
    <w:rsid w:val="00C12262"/>
    <w:rsid w:val="00C142E7"/>
    <w:rsid w:val="00C20E2E"/>
    <w:rsid w:val="00C3437F"/>
    <w:rsid w:val="00C4285A"/>
    <w:rsid w:val="00C44D0D"/>
    <w:rsid w:val="00C45721"/>
    <w:rsid w:val="00C55345"/>
    <w:rsid w:val="00C72F26"/>
    <w:rsid w:val="00C8294D"/>
    <w:rsid w:val="00C84521"/>
    <w:rsid w:val="00C909BD"/>
    <w:rsid w:val="00C92EC3"/>
    <w:rsid w:val="00CA0096"/>
    <w:rsid w:val="00CB7122"/>
    <w:rsid w:val="00CC6AA6"/>
    <w:rsid w:val="00CE124C"/>
    <w:rsid w:val="00CF209C"/>
    <w:rsid w:val="00D12AC4"/>
    <w:rsid w:val="00D1574D"/>
    <w:rsid w:val="00D15957"/>
    <w:rsid w:val="00D51923"/>
    <w:rsid w:val="00D72BC1"/>
    <w:rsid w:val="00D91212"/>
    <w:rsid w:val="00D91478"/>
    <w:rsid w:val="00D92E45"/>
    <w:rsid w:val="00DB5945"/>
    <w:rsid w:val="00DD0D6F"/>
    <w:rsid w:val="00DD31ED"/>
    <w:rsid w:val="00DD7D47"/>
    <w:rsid w:val="00DE0341"/>
    <w:rsid w:val="00E02E0C"/>
    <w:rsid w:val="00E11C7E"/>
    <w:rsid w:val="00E12C15"/>
    <w:rsid w:val="00E14471"/>
    <w:rsid w:val="00E25071"/>
    <w:rsid w:val="00E43A56"/>
    <w:rsid w:val="00E45278"/>
    <w:rsid w:val="00E46C5F"/>
    <w:rsid w:val="00E47C6A"/>
    <w:rsid w:val="00E540BF"/>
    <w:rsid w:val="00E757A1"/>
    <w:rsid w:val="00E94244"/>
    <w:rsid w:val="00EA3415"/>
    <w:rsid w:val="00EC1CE7"/>
    <w:rsid w:val="00ED1692"/>
    <w:rsid w:val="00ED4C67"/>
    <w:rsid w:val="00ED64ED"/>
    <w:rsid w:val="00EE3DEC"/>
    <w:rsid w:val="00EF30B3"/>
    <w:rsid w:val="00EF4CDC"/>
    <w:rsid w:val="00F02399"/>
    <w:rsid w:val="00F0695C"/>
    <w:rsid w:val="00F27218"/>
    <w:rsid w:val="00F2773B"/>
    <w:rsid w:val="00F423D2"/>
    <w:rsid w:val="00F654AA"/>
    <w:rsid w:val="00F66315"/>
    <w:rsid w:val="00F706CC"/>
    <w:rsid w:val="00F7183B"/>
    <w:rsid w:val="00F74815"/>
    <w:rsid w:val="00F87771"/>
    <w:rsid w:val="00F929BA"/>
    <w:rsid w:val="00F963B8"/>
    <w:rsid w:val="00FB02A5"/>
    <w:rsid w:val="00FC04BE"/>
    <w:rsid w:val="00FC2F66"/>
    <w:rsid w:val="00FD4317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Ravil</cp:lastModifiedBy>
  <cp:revision>2</cp:revision>
  <dcterms:created xsi:type="dcterms:W3CDTF">2022-04-26T08:23:00Z</dcterms:created>
  <dcterms:modified xsi:type="dcterms:W3CDTF">2022-04-26T08:23:00Z</dcterms:modified>
</cp:coreProperties>
</file>